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97" w:rsidRDefault="00E01F97" w:rsidP="00BF1DBA">
      <w:pPr>
        <w:spacing w:after="0"/>
        <w:rPr>
          <w:rFonts w:eastAsia="Times New Roman"/>
          <w:b/>
          <w:bCs/>
          <w:color w:val="374D5C"/>
          <w:sz w:val="17"/>
          <w:szCs w:val="17"/>
        </w:rPr>
      </w:pPr>
    </w:p>
    <w:p w:rsidR="00E01F97" w:rsidRDefault="00E01F97" w:rsidP="00BF1DBA">
      <w:pPr>
        <w:spacing w:after="0"/>
        <w:rPr>
          <w:rFonts w:eastAsia="Times New Roman"/>
          <w:b/>
          <w:bCs/>
          <w:color w:val="374D5C"/>
          <w:sz w:val="17"/>
          <w:szCs w:val="17"/>
        </w:rPr>
      </w:pPr>
    </w:p>
    <w:p w:rsidR="00BF1DBA" w:rsidRDefault="00BF1DBA" w:rsidP="00BF1DBA">
      <w:pPr>
        <w:spacing w:after="0"/>
        <w:rPr>
          <w:rFonts w:eastAsia="Times New Roman"/>
          <w:color w:val="374D5C"/>
          <w:sz w:val="17"/>
          <w:szCs w:val="17"/>
        </w:rPr>
      </w:pPr>
      <w:r>
        <w:rPr>
          <w:rFonts w:eastAsia="Times New Roman"/>
          <w:b/>
          <w:bCs/>
          <w:color w:val="374D5C"/>
          <w:sz w:val="17"/>
          <w:szCs w:val="17"/>
        </w:rPr>
        <w:t>Dziennik Ustaw</w:t>
      </w:r>
      <w:r>
        <w:rPr>
          <w:rFonts w:eastAsia="Times New Roman"/>
          <w:color w:val="374D5C"/>
          <w:sz w:val="17"/>
          <w:szCs w:val="17"/>
        </w:rPr>
        <w:t xml:space="preserve"> rok </w:t>
      </w:r>
      <w:r>
        <w:rPr>
          <w:rFonts w:eastAsia="Times New Roman"/>
          <w:b/>
          <w:bCs/>
          <w:color w:val="374D5C"/>
          <w:sz w:val="17"/>
          <w:szCs w:val="17"/>
        </w:rPr>
        <w:t>2017</w:t>
      </w:r>
      <w:r>
        <w:rPr>
          <w:rFonts w:eastAsia="Times New Roman"/>
          <w:color w:val="374D5C"/>
          <w:sz w:val="17"/>
          <w:szCs w:val="17"/>
        </w:rPr>
        <w:t xml:space="preserve"> poz. </w:t>
      </w:r>
      <w:r>
        <w:rPr>
          <w:rFonts w:eastAsia="Times New Roman"/>
          <w:b/>
          <w:bCs/>
          <w:color w:val="374D5C"/>
          <w:sz w:val="17"/>
          <w:szCs w:val="17"/>
        </w:rPr>
        <w:t>722</w:t>
      </w:r>
      <w:r>
        <w:rPr>
          <w:rFonts w:eastAsia="Times New Roman"/>
          <w:color w:val="374D5C"/>
          <w:sz w:val="17"/>
          <w:szCs w:val="17"/>
        </w:rPr>
        <w:t xml:space="preserve"> </w:t>
      </w:r>
      <w:r>
        <w:rPr>
          <w:rFonts w:eastAsia="Times New Roman"/>
          <w:color w:val="374D5C"/>
          <w:sz w:val="17"/>
          <w:szCs w:val="17"/>
        </w:rPr>
        <w:br/>
      </w:r>
      <w:r>
        <w:rPr>
          <w:rStyle w:val="red1"/>
          <w:rFonts w:eastAsia="Times New Roman"/>
          <w:sz w:val="17"/>
          <w:szCs w:val="17"/>
        </w:rPr>
        <w:t xml:space="preserve">wersja obowiązująca od </w:t>
      </w:r>
      <w:r>
        <w:rPr>
          <w:rStyle w:val="red1"/>
          <w:rFonts w:eastAsia="Times New Roman"/>
          <w:b/>
          <w:bCs/>
          <w:sz w:val="17"/>
          <w:szCs w:val="17"/>
        </w:rPr>
        <w:t>2017-04-06</w:t>
      </w:r>
      <w:r>
        <w:rPr>
          <w:rFonts w:eastAsia="Times New Roman"/>
          <w:color w:val="374D5C"/>
          <w:sz w:val="17"/>
          <w:szCs w:val="17"/>
        </w:rPr>
        <w:t xml:space="preserve"> </w:t>
      </w:r>
    </w:p>
    <w:p w:rsidR="00BF1DBA" w:rsidRDefault="00BF1DBA" w:rsidP="00BF1DBA">
      <w:pPr>
        <w:shd w:val="clear" w:color="auto" w:fill="FFFFFF"/>
        <w:spacing w:after="0" w:line="300" w:lineRule="atLeast"/>
        <w:rPr>
          <w:rFonts w:eastAsia="Times New Roman"/>
          <w:vanish/>
          <w:color w:val="374D5C"/>
          <w:sz w:val="18"/>
          <w:szCs w:val="18"/>
        </w:rPr>
      </w:pPr>
      <w:r>
        <w:rPr>
          <w:rFonts w:eastAsia="Times New Roman"/>
          <w:vanish/>
          <w:color w:val="374D5C"/>
        </w:rPr>
        <w:t>1</w:t>
      </w:r>
    </w:p>
    <w:p w:rsidR="00BF1DBA" w:rsidRDefault="00BF1DBA" w:rsidP="00BF1DBA">
      <w:pPr>
        <w:shd w:val="clear" w:color="auto" w:fill="FFFFFF"/>
        <w:spacing w:after="0" w:line="300" w:lineRule="atLeast"/>
        <w:rPr>
          <w:rFonts w:eastAsia="Times New Roman"/>
          <w:vanish/>
          <w:color w:val="374D5C"/>
        </w:rPr>
      </w:pPr>
      <w:r>
        <w:rPr>
          <w:rFonts w:eastAsia="Times New Roman"/>
          <w:vanish/>
          <w:color w:val="374D5C"/>
        </w:rPr>
        <w:t>1</w:t>
      </w:r>
    </w:p>
    <w:p w:rsidR="00BF1DBA" w:rsidRDefault="00BF1DBA" w:rsidP="00BF1DBA">
      <w:pPr>
        <w:pStyle w:val="dtn4"/>
        <w:shd w:val="clear" w:color="auto" w:fill="FFFFFF"/>
        <w:spacing w:line="300" w:lineRule="atLeast"/>
        <w:rPr>
          <w:rFonts w:cs="Tahoma"/>
          <w:color w:val="374D5C"/>
          <w:sz w:val="27"/>
          <w:szCs w:val="27"/>
        </w:rPr>
      </w:pPr>
      <w:r>
        <w:rPr>
          <w:rFonts w:cs="Tahoma"/>
          <w:color w:val="374D5C"/>
          <w:sz w:val="27"/>
          <w:szCs w:val="27"/>
        </w:rPr>
        <w:t>ROZPORZĄDZENIE</w:t>
      </w:r>
      <w:r>
        <w:rPr>
          <w:rFonts w:cs="Tahoma"/>
          <w:color w:val="374D5C"/>
          <w:sz w:val="27"/>
          <w:szCs w:val="27"/>
        </w:rPr>
        <w:br/>
        <w:t>MINISTRA ROLNICTWA I ROZWOJU WSI</w:t>
      </w:r>
      <w:r>
        <w:rPr>
          <w:rFonts w:cs="Tahoma"/>
          <w:color w:val="374D5C"/>
          <w:sz w:val="27"/>
          <w:szCs w:val="27"/>
          <w:vertAlign w:val="superscript"/>
        </w:rPr>
        <w:t>1)</w:t>
      </w:r>
    </w:p>
    <w:p w:rsidR="00BF1DBA" w:rsidRDefault="00BF1DBA" w:rsidP="00BF1DBA">
      <w:pPr>
        <w:pStyle w:val="dtz2"/>
        <w:shd w:val="clear" w:color="auto" w:fill="FFFFFF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z dnia 4 kwietnia 2017 r.</w:t>
      </w:r>
    </w:p>
    <w:p w:rsidR="00BF1DBA" w:rsidRDefault="00BF1DBA" w:rsidP="00BF1DBA">
      <w:pPr>
        <w:pStyle w:val="dtu4"/>
        <w:shd w:val="clear" w:color="auto" w:fill="FFFFFF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w sprawie zarządzenia środków związanych z wystąpieniem wysoce zjadliwej grypy ptaków</w:t>
      </w:r>
    </w:p>
    <w:p w:rsidR="00BF1DBA" w:rsidRDefault="00BF1DBA" w:rsidP="006F2914">
      <w:pPr>
        <w:pStyle w:val="p0"/>
        <w:shd w:val="clear" w:color="auto" w:fill="FFFFFF"/>
        <w:spacing w:line="300" w:lineRule="atLeast"/>
        <w:jc w:val="both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Na podstawie art. 47 ust. 1 ustawy z dnia 11 marca 2004 r. o ochronie zdrowia zwierząt oraz zwalczaniu chorób zakaźnych zwierząt (</w:t>
      </w:r>
      <w:hyperlink r:id="rId4" w:tgtFrame="_blank" w:tooltip="USTAWA z dnia 11 marca 2004 r. o ochronie zdrowia zwierząt oraz zwalczaniu chorób zakaźnych zwierząt" w:history="1">
        <w:r>
          <w:rPr>
            <w:rFonts w:ascii="Tahoma" w:hAnsi="Tahoma" w:cs="Tahoma"/>
            <w:color w:val="0B53A2"/>
            <w:sz w:val="18"/>
            <w:szCs w:val="18"/>
          </w:rPr>
          <w:t>Dz. U. z 2014 r. poz. 1539</w:t>
        </w:r>
      </w:hyperlink>
      <w:r>
        <w:rPr>
          <w:rFonts w:ascii="Tahoma" w:hAnsi="Tahoma" w:cs="Tahoma"/>
          <w:color w:val="374D5C"/>
          <w:sz w:val="18"/>
          <w:szCs w:val="18"/>
        </w:rPr>
        <w:t>, z 2015 r. poz. 266 i 470 oraz z 2016 r. poz. 1605) zarządza się, co następuje:</w:t>
      </w:r>
    </w:p>
    <w:p w:rsidR="00BF1DBA" w:rsidRDefault="00BF1DBA" w:rsidP="006F2914">
      <w:pPr>
        <w:pStyle w:val="p0"/>
        <w:shd w:val="clear" w:color="auto" w:fill="FFFFFF"/>
        <w:spacing w:line="300" w:lineRule="atLeast"/>
        <w:jc w:val="both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§ 1.</w:t>
      </w:r>
      <w:r>
        <w:rPr>
          <w:rFonts w:ascii="Tahoma" w:hAnsi="Tahoma" w:cs="Tahoma"/>
          <w:color w:val="374D5C"/>
          <w:sz w:val="18"/>
          <w:szCs w:val="18"/>
        </w:rPr>
        <w:t xml:space="preserve">1. W związku z wystąpieniem wysoce zjadliwej grypy ptaków wywołanej wirusem grypy A podtypu H5 i </w:t>
      </w:r>
      <w:r w:rsidR="006F2914">
        <w:rPr>
          <w:rFonts w:ascii="Tahoma" w:hAnsi="Tahoma" w:cs="Tahoma"/>
          <w:color w:val="374D5C"/>
          <w:sz w:val="18"/>
          <w:szCs w:val="18"/>
        </w:rPr>
        <w:t> </w:t>
      </w:r>
      <w:r>
        <w:rPr>
          <w:rFonts w:ascii="Tahoma" w:hAnsi="Tahoma" w:cs="Tahoma"/>
          <w:color w:val="374D5C"/>
          <w:sz w:val="18"/>
          <w:szCs w:val="18"/>
        </w:rPr>
        <w:t>H7, na terytorium Rzeczypospolitej Polskiej:</w:t>
      </w:r>
    </w:p>
    <w:p w:rsidR="00BF1DBA" w:rsidRDefault="00BF1DBA" w:rsidP="006F2914">
      <w:pPr>
        <w:pStyle w:val="p1"/>
        <w:shd w:val="clear" w:color="auto" w:fill="FFFFFF"/>
        <w:spacing w:line="300" w:lineRule="atLeast"/>
        <w:jc w:val="both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1) zakazuje się:</w:t>
      </w:r>
    </w:p>
    <w:p w:rsidR="00BF1DBA" w:rsidRDefault="00BF1DBA" w:rsidP="006F2914">
      <w:pPr>
        <w:pStyle w:val="p2"/>
        <w:shd w:val="clear" w:color="auto" w:fill="FFFFFF"/>
        <w:spacing w:line="300" w:lineRule="atLeast"/>
        <w:jc w:val="both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a) pojenia drobiu oraz ptaków utrzymywanych przez człowieka wodą ze zbiorników, do których dostęp mają dzikie ptaki,</w:t>
      </w:r>
    </w:p>
    <w:p w:rsidR="00BF1DBA" w:rsidRDefault="00BF1DBA" w:rsidP="006F2914">
      <w:pPr>
        <w:pStyle w:val="p2"/>
        <w:shd w:val="clear" w:color="auto" w:fill="FFFFFF"/>
        <w:spacing w:line="300" w:lineRule="atLeast"/>
        <w:jc w:val="both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b) wnoszenia i wwożenia na teren gospodarstwa, w którym jest utrzymywany drób, zwłok dzikich ptaków lub tusz ptaków łownych;</w:t>
      </w:r>
    </w:p>
    <w:p w:rsidR="00BF1DBA" w:rsidRDefault="00BF1DBA" w:rsidP="006F2914">
      <w:pPr>
        <w:pStyle w:val="p1"/>
        <w:shd w:val="clear" w:color="auto" w:fill="FFFFFF"/>
        <w:spacing w:line="300" w:lineRule="atLeast"/>
        <w:jc w:val="both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2) nakazuje się:</w:t>
      </w:r>
    </w:p>
    <w:p w:rsidR="00BF1DBA" w:rsidRDefault="00BF1DBA" w:rsidP="006F2914">
      <w:pPr>
        <w:pStyle w:val="p2"/>
        <w:shd w:val="clear" w:color="auto" w:fill="FFFFFF"/>
        <w:spacing w:line="300" w:lineRule="atLeast"/>
        <w:jc w:val="both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a) utrzymywanie drobiu w sposób ograniczający jego kontakt z dzikimi ptakami,</w:t>
      </w:r>
    </w:p>
    <w:p w:rsidR="00BF1DBA" w:rsidRDefault="00BF1DBA" w:rsidP="006F2914">
      <w:pPr>
        <w:pStyle w:val="p2"/>
        <w:shd w:val="clear" w:color="auto" w:fill="FFFFFF"/>
        <w:spacing w:line="300" w:lineRule="atLeast"/>
        <w:jc w:val="both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 xml:space="preserve">b) zgłaszanie do powiatowego lekarza weterynarii miejsc, w których jest utrzymywany drób lub inne ptaki, z </w:t>
      </w:r>
      <w:r w:rsidR="006F2914">
        <w:rPr>
          <w:rFonts w:ascii="Tahoma" w:hAnsi="Tahoma" w:cs="Tahoma"/>
          <w:color w:val="374D5C"/>
          <w:sz w:val="18"/>
          <w:szCs w:val="18"/>
        </w:rPr>
        <w:t> </w:t>
      </w:r>
      <w:r>
        <w:rPr>
          <w:rFonts w:ascii="Tahoma" w:hAnsi="Tahoma" w:cs="Tahoma"/>
          <w:color w:val="374D5C"/>
          <w:sz w:val="18"/>
          <w:szCs w:val="18"/>
        </w:rPr>
        <w:t>wyłączeniem ptaków utrzymywanych stale w pomieszczeniach mieszkalnych,</w:t>
      </w:r>
    </w:p>
    <w:p w:rsidR="00BF1DBA" w:rsidRDefault="00BF1DBA" w:rsidP="006F2914">
      <w:pPr>
        <w:pStyle w:val="p2"/>
        <w:shd w:val="clear" w:color="auto" w:fill="FFFFFF"/>
        <w:spacing w:line="300" w:lineRule="atLeast"/>
        <w:jc w:val="both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c) utrzymywanie drobiu w sposób wykluczający jego dostęp do zbiorników wodnych, do których dostęp mają dzikie ptaki,</w:t>
      </w:r>
    </w:p>
    <w:p w:rsidR="00BF1DBA" w:rsidRDefault="00BF1DBA" w:rsidP="006F2914">
      <w:pPr>
        <w:pStyle w:val="p2"/>
        <w:shd w:val="clear" w:color="auto" w:fill="FFFFFF"/>
        <w:spacing w:line="300" w:lineRule="atLeast"/>
        <w:jc w:val="both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d) przechowywanie paszy dla ptaków w sposób zabezpieczający przed kontaktem z dzikimi ptakami oraz ich odchodami,</w:t>
      </w:r>
    </w:p>
    <w:p w:rsidR="00BF1DBA" w:rsidRDefault="00BF1DBA" w:rsidP="006F2914">
      <w:pPr>
        <w:pStyle w:val="p2"/>
        <w:shd w:val="clear" w:color="auto" w:fill="FFFFFF"/>
        <w:spacing w:line="300" w:lineRule="atLeast"/>
        <w:jc w:val="both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 xml:space="preserve">e) karmienie i pojenie drobiu oraz ptaków utrzymywanych w niewoli w sposób zabezpieczający paszę i </w:t>
      </w:r>
      <w:r w:rsidR="006F2914">
        <w:rPr>
          <w:rFonts w:ascii="Tahoma" w:hAnsi="Tahoma" w:cs="Tahoma"/>
          <w:color w:val="374D5C"/>
          <w:sz w:val="18"/>
          <w:szCs w:val="18"/>
        </w:rPr>
        <w:t> </w:t>
      </w:r>
      <w:r>
        <w:rPr>
          <w:rFonts w:ascii="Tahoma" w:hAnsi="Tahoma" w:cs="Tahoma"/>
          <w:color w:val="374D5C"/>
          <w:sz w:val="18"/>
          <w:szCs w:val="18"/>
        </w:rPr>
        <w:t>wodę przed dostępem dzikich ptaków oraz ich odchodami,</w:t>
      </w:r>
    </w:p>
    <w:p w:rsidR="00BF1DBA" w:rsidRDefault="00BF1DBA" w:rsidP="006F2914">
      <w:pPr>
        <w:pStyle w:val="p2"/>
        <w:shd w:val="clear" w:color="auto" w:fill="FFFFFF"/>
        <w:spacing w:line="300" w:lineRule="atLeast"/>
        <w:jc w:val="both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f) wyłożenie mat dezynfekcyjnych przed wejściami i wyjściami z budynków inwentarskich, w których jest utrzymywany drób, w liczbie zapewniającej zabezpieczenie wejść i wyjść z tych budynków – w</w:t>
      </w:r>
      <w:r w:rsidR="006F2914">
        <w:rPr>
          <w:rFonts w:ascii="Tahoma" w:hAnsi="Tahoma" w:cs="Tahoma"/>
          <w:color w:val="374D5C"/>
          <w:sz w:val="18"/>
          <w:szCs w:val="18"/>
        </w:rPr>
        <w:t> </w:t>
      </w:r>
      <w:r>
        <w:rPr>
          <w:rFonts w:ascii="Tahoma" w:hAnsi="Tahoma" w:cs="Tahoma"/>
          <w:color w:val="374D5C"/>
          <w:sz w:val="18"/>
          <w:szCs w:val="18"/>
        </w:rPr>
        <w:t xml:space="preserve"> przypadku ferm, w których drób jest utrzymywany w systemie bezwybiegowym,</w:t>
      </w:r>
    </w:p>
    <w:p w:rsidR="00BF1DBA" w:rsidRDefault="00BF1DBA" w:rsidP="006F2914">
      <w:pPr>
        <w:pStyle w:val="p2"/>
        <w:shd w:val="clear" w:color="auto" w:fill="FFFFFF"/>
        <w:spacing w:line="300" w:lineRule="atLeast"/>
        <w:jc w:val="both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 xml:space="preserve">g) stosowanie przez osoby wchodzące do budynków inwentarskich, w których jest utrzymywany drób, odzieży ochronnej oraz obuwia ochronnego, przeznaczonych do użytku wyłącznie w danym budynku – w </w:t>
      </w:r>
      <w:r w:rsidR="006F2914">
        <w:rPr>
          <w:rFonts w:ascii="Tahoma" w:hAnsi="Tahoma" w:cs="Tahoma"/>
          <w:color w:val="374D5C"/>
          <w:sz w:val="18"/>
          <w:szCs w:val="18"/>
        </w:rPr>
        <w:t> </w:t>
      </w:r>
      <w:r>
        <w:rPr>
          <w:rFonts w:ascii="Tahoma" w:hAnsi="Tahoma" w:cs="Tahoma"/>
          <w:color w:val="374D5C"/>
          <w:sz w:val="18"/>
          <w:szCs w:val="18"/>
        </w:rPr>
        <w:t>przypadku ferm, w których drób jest utrzymywany w systemie bezwybiegowym,</w:t>
      </w:r>
    </w:p>
    <w:p w:rsidR="00BF1DBA" w:rsidRDefault="00BF1DBA" w:rsidP="006F2914">
      <w:pPr>
        <w:pStyle w:val="p2"/>
        <w:shd w:val="clear" w:color="auto" w:fill="FFFFFF"/>
        <w:spacing w:line="300" w:lineRule="atLeast"/>
        <w:jc w:val="both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h) stosowanie przez osoby wykonujące czynności związane z obsługą drobiu zasad higieny osobistej, w tym mycie rąk przed wejściem do budynków inwentarskich,</w:t>
      </w:r>
    </w:p>
    <w:p w:rsidR="00BF1DBA" w:rsidRDefault="00BF1DBA" w:rsidP="006F2914">
      <w:pPr>
        <w:pStyle w:val="p2"/>
        <w:shd w:val="clear" w:color="auto" w:fill="FFFFFF"/>
        <w:spacing w:line="300" w:lineRule="atLeast"/>
        <w:jc w:val="both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i) oczyszczanie i odkażanie sprzętu i narzędzi używanych do obsługi drobiu przed każdym ich użyciem,</w:t>
      </w:r>
    </w:p>
    <w:p w:rsidR="00BF1DBA" w:rsidRDefault="00BF1DBA" w:rsidP="006F2914">
      <w:pPr>
        <w:pStyle w:val="p2"/>
        <w:shd w:val="clear" w:color="auto" w:fill="FFFFFF"/>
        <w:spacing w:line="300" w:lineRule="atLeast"/>
        <w:jc w:val="both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lastRenderedPageBreak/>
        <w:t>j) powstrzymanie się przez osoby, które w ciągu ostatnich 72 godzin uczestniczyły w polowaniu na ptaki łowne, od wykonywania czynności związanych z obsługą drobiu,</w:t>
      </w:r>
    </w:p>
    <w:p w:rsidR="00BF1DBA" w:rsidRDefault="00BF1DBA" w:rsidP="006F2914">
      <w:pPr>
        <w:pStyle w:val="p2"/>
        <w:shd w:val="clear" w:color="auto" w:fill="FFFFFF"/>
        <w:spacing w:line="300" w:lineRule="atLeast"/>
        <w:jc w:val="both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k) dokonywanie codziennego przeglądu stad drobiu wraz z prowadzeniem dokumentacji zawierającej w</w:t>
      </w:r>
      <w:r w:rsidR="006F2914">
        <w:rPr>
          <w:rFonts w:ascii="Tahoma" w:hAnsi="Tahoma" w:cs="Tahoma"/>
          <w:color w:val="374D5C"/>
          <w:sz w:val="18"/>
          <w:szCs w:val="18"/>
        </w:rPr>
        <w:t> </w:t>
      </w:r>
      <w:r>
        <w:rPr>
          <w:rFonts w:ascii="Tahoma" w:hAnsi="Tahoma" w:cs="Tahoma"/>
          <w:color w:val="374D5C"/>
          <w:sz w:val="18"/>
          <w:szCs w:val="18"/>
        </w:rPr>
        <w:t xml:space="preserve"> szczególności informacje na temat liczby </w:t>
      </w:r>
      <w:proofErr w:type="spellStart"/>
      <w:r>
        <w:rPr>
          <w:rFonts w:ascii="Tahoma" w:hAnsi="Tahoma" w:cs="Tahoma"/>
          <w:color w:val="374D5C"/>
          <w:sz w:val="18"/>
          <w:szCs w:val="18"/>
        </w:rPr>
        <w:t>padłych</w:t>
      </w:r>
      <w:proofErr w:type="spellEnd"/>
      <w:r>
        <w:rPr>
          <w:rFonts w:ascii="Tahoma" w:hAnsi="Tahoma" w:cs="Tahoma"/>
          <w:color w:val="374D5C"/>
          <w:sz w:val="18"/>
          <w:szCs w:val="18"/>
        </w:rPr>
        <w:t xml:space="preserve"> ptaków, spadku pobierania paszy lub nieśności.</w:t>
      </w:r>
    </w:p>
    <w:p w:rsidR="00BF1DBA" w:rsidRDefault="00BF1DBA" w:rsidP="006F2914">
      <w:pPr>
        <w:pStyle w:val="p0"/>
        <w:shd w:val="clear" w:color="auto" w:fill="FFFFFF"/>
        <w:spacing w:line="300" w:lineRule="atLeast"/>
        <w:jc w:val="both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 xml:space="preserve">2. Posiadacz drobiu zawiadamia organ Inspekcji Weterynaryjnej albo najbliższy podmiot świadczący usługi z </w:t>
      </w:r>
      <w:r w:rsidR="006F2914">
        <w:rPr>
          <w:rFonts w:ascii="Tahoma" w:hAnsi="Tahoma" w:cs="Tahoma"/>
          <w:color w:val="374D5C"/>
          <w:sz w:val="18"/>
          <w:szCs w:val="18"/>
        </w:rPr>
        <w:t> </w:t>
      </w:r>
      <w:r>
        <w:rPr>
          <w:rFonts w:ascii="Tahoma" w:hAnsi="Tahoma" w:cs="Tahoma"/>
          <w:color w:val="374D5C"/>
          <w:sz w:val="18"/>
          <w:szCs w:val="18"/>
        </w:rPr>
        <w:t>zakresu medycyny weterynaryjnej o wystąpieniu u drobiu następujących objawów klinicznych:</w:t>
      </w:r>
    </w:p>
    <w:p w:rsidR="00BF1DBA" w:rsidRDefault="00BF1DBA" w:rsidP="006F2914">
      <w:pPr>
        <w:pStyle w:val="p1"/>
        <w:shd w:val="clear" w:color="auto" w:fill="FFFFFF"/>
        <w:spacing w:line="300" w:lineRule="atLeast"/>
        <w:jc w:val="both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1) zwiększonej śmiertelności;</w:t>
      </w:r>
    </w:p>
    <w:p w:rsidR="00BF1DBA" w:rsidRDefault="00BF1DBA" w:rsidP="006F2914">
      <w:pPr>
        <w:pStyle w:val="p1"/>
        <w:shd w:val="clear" w:color="auto" w:fill="FFFFFF"/>
        <w:spacing w:line="300" w:lineRule="atLeast"/>
        <w:jc w:val="both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2) znaczącego spadku pobierania paszy i wody;</w:t>
      </w:r>
    </w:p>
    <w:p w:rsidR="00BF1DBA" w:rsidRDefault="00BF1DBA" w:rsidP="006F2914">
      <w:pPr>
        <w:pStyle w:val="p1"/>
        <w:shd w:val="clear" w:color="auto" w:fill="FFFFFF"/>
        <w:spacing w:line="300" w:lineRule="atLeast"/>
        <w:jc w:val="both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3) objawów nerwowych takich jak: drgawki, skręty szyi, paraliż nóg i skrzydeł, niezborność ruchów;</w:t>
      </w:r>
    </w:p>
    <w:p w:rsidR="00BF1DBA" w:rsidRDefault="00BF1DBA" w:rsidP="006F2914">
      <w:pPr>
        <w:pStyle w:val="p1"/>
        <w:shd w:val="clear" w:color="auto" w:fill="FFFFFF"/>
        <w:spacing w:line="300" w:lineRule="atLeast"/>
        <w:jc w:val="both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4) duszności;</w:t>
      </w:r>
    </w:p>
    <w:p w:rsidR="00BF1DBA" w:rsidRDefault="00BF1DBA" w:rsidP="006F2914">
      <w:pPr>
        <w:pStyle w:val="p1"/>
        <w:shd w:val="clear" w:color="auto" w:fill="FFFFFF"/>
        <w:spacing w:line="300" w:lineRule="atLeast"/>
        <w:jc w:val="both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5) sinicy i wybroczyn;</w:t>
      </w:r>
    </w:p>
    <w:p w:rsidR="00BF1DBA" w:rsidRDefault="00BF1DBA" w:rsidP="006F2914">
      <w:pPr>
        <w:pStyle w:val="p1"/>
        <w:shd w:val="clear" w:color="auto" w:fill="FFFFFF"/>
        <w:spacing w:line="300" w:lineRule="atLeast"/>
        <w:jc w:val="both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6) biegunki;</w:t>
      </w:r>
    </w:p>
    <w:p w:rsidR="00BF1DBA" w:rsidRDefault="00BF1DBA" w:rsidP="006F2914">
      <w:pPr>
        <w:pStyle w:val="p1"/>
        <w:shd w:val="clear" w:color="auto" w:fill="FFFFFF"/>
        <w:spacing w:line="300" w:lineRule="atLeast"/>
        <w:jc w:val="both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7) nagłego spadku nieśności.</w:t>
      </w:r>
    </w:p>
    <w:p w:rsidR="00BF1DBA" w:rsidRDefault="00BF1DBA" w:rsidP="006F2914">
      <w:pPr>
        <w:pStyle w:val="p0"/>
        <w:shd w:val="clear" w:color="auto" w:fill="FFFFFF"/>
        <w:spacing w:line="300" w:lineRule="atLeast"/>
        <w:jc w:val="both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3. Dzierżawcy lub zarządcy obwodów łowieckich zgłaszają organowi Inspekcji Weterynaryjnej albo najbliższemu podmiotowi świadczącemu usługi z zakresu medycyny weterynaryjnej przypadki zwiększonej śmiertelności dzikich ptaków.</w:t>
      </w:r>
    </w:p>
    <w:p w:rsidR="00BF1DBA" w:rsidRDefault="00BF1DBA" w:rsidP="006F2914">
      <w:pPr>
        <w:pStyle w:val="p0"/>
        <w:shd w:val="clear" w:color="auto" w:fill="FFFFFF"/>
        <w:spacing w:line="300" w:lineRule="atLeast"/>
        <w:jc w:val="both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§ 2.</w:t>
      </w:r>
      <w:r>
        <w:rPr>
          <w:rFonts w:ascii="Tahoma" w:hAnsi="Tahoma" w:cs="Tahoma"/>
          <w:color w:val="374D5C"/>
          <w:sz w:val="18"/>
          <w:szCs w:val="18"/>
        </w:rPr>
        <w:t>Traci moc rozporządzenie Ministra Rolnictwa i Rozwoju Wsi z dnia 20 grudnia 2016 r. w sprawie zarządzenia środków związanych z wystąpieniem wysoce zjadliwej grypy ptaków (Dz. U. poz. 2091).</w:t>
      </w:r>
    </w:p>
    <w:p w:rsidR="00BF1DBA" w:rsidRDefault="00BF1DBA" w:rsidP="006F2914">
      <w:pPr>
        <w:pStyle w:val="p0"/>
        <w:shd w:val="clear" w:color="auto" w:fill="FFFFFF"/>
        <w:spacing w:line="300" w:lineRule="atLeast"/>
        <w:jc w:val="both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§ 3.</w:t>
      </w:r>
      <w:r>
        <w:rPr>
          <w:rFonts w:ascii="Tahoma" w:hAnsi="Tahoma" w:cs="Tahoma"/>
          <w:color w:val="374D5C"/>
          <w:sz w:val="18"/>
          <w:szCs w:val="18"/>
        </w:rPr>
        <w:t>Rozporządzenie wchodzi w życie z dniem następującym po dniu ogłoszenia.</w:t>
      </w:r>
    </w:p>
    <w:p w:rsidR="00BF1DBA" w:rsidRDefault="00BF1DBA" w:rsidP="00BF1DBA">
      <w:pPr>
        <w:pStyle w:val="pp2"/>
        <w:shd w:val="clear" w:color="auto" w:fill="FFFFFF"/>
        <w:spacing w:line="300" w:lineRule="atLeast"/>
        <w:rPr>
          <w:rStyle w:val="podpis-pochyly1"/>
          <w:rFonts w:ascii="Tahoma" w:hAnsi="Tahoma" w:cs="Tahoma"/>
          <w:color w:val="374D5C"/>
          <w:sz w:val="16"/>
          <w:szCs w:val="16"/>
        </w:rPr>
      </w:pPr>
      <w:r>
        <w:rPr>
          <w:rStyle w:val="podpis-prosty"/>
          <w:rFonts w:ascii="Tahoma" w:hAnsi="Tahoma" w:cs="Tahoma"/>
          <w:color w:val="374D5C"/>
          <w:sz w:val="16"/>
          <w:szCs w:val="16"/>
        </w:rPr>
        <w:t>Minister Rolnictwa i Rozwoju Wsi:</w:t>
      </w:r>
      <w:r>
        <w:rPr>
          <w:rFonts w:ascii="Tahoma" w:hAnsi="Tahoma" w:cs="Tahoma"/>
          <w:color w:val="374D5C"/>
          <w:sz w:val="16"/>
          <w:szCs w:val="16"/>
        </w:rPr>
        <w:t xml:space="preserve"> </w:t>
      </w:r>
      <w:r>
        <w:rPr>
          <w:rStyle w:val="podpis-pochyly1"/>
          <w:rFonts w:ascii="Tahoma" w:hAnsi="Tahoma" w:cs="Tahoma"/>
          <w:color w:val="374D5C"/>
          <w:sz w:val="16"/>
          <w:szCs w:val="16"/>
        </w:rPr>
        <w:t>K. Jurgiel</w:t>
      </w:r>
    </w:p>
    <w:p w:rsidR="00053E96" w:rsidRPr="00FE0CF8" w:rsidRDefault="00053E96" w:rsidP="00FE0C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053E96" w:rsidRPr="00FE0CF8" w:rsidSect="00F51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86A20"/>
    <w:rsid w:val="00053E96"/>
    <w:rsid w:val="002C6401"/>
    <w:rsid w:val="003F4BB5"/>
    <w:rsid w:val="004B0725"/>
    <w:rsid w:val="004C5187"/>
    <w:rsid w:val="006F2914"/>
    <w:rsid w:val="008A09D3"/>
    <w:rsid w:val="00935F60"/>
    <w:rsid w:val="00A86A20"/>
    <w:rsid w:val="00A90F44"/>
    <w:rsid w:val="00BC0D72"/>
    <w:rsid w:val="00BF1DBA"/>
    <w:rsid w:val="00C95A81"/>
    <w:rsid w:val="00DA1D99"/>
    <w:rsid w:val="00E01F97"/>
    <w:rsid w:val="00F5143C"/>
    <w:rsid w:val="00FE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43C"/>
  </w:style>
  <w:style w:type="paragraph" w:styleId="Nagwek2">
    <w:name w:val="heading 2"/>
    <w:basedOn w:val="Normalny"/>
    <w:link w:val="Nagwek2Znak"/>
    <w:uiPriority w:val="9"/>
    <w:qFormat/>
    <w:rsid w:val="00A86A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86A2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0">
    <w:name w:val="p0"/>
    <w:basedOn w:val="Normalny"/>
    <w:rsid w:val="00BF1DBA"/>
    <w:pPr>
      <w:spacing w:after="150" w:line="240" w:lineRule="auto"/>
      <w:ind w:firstLine="240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Normalny"/>
    <w:rsid w:val="00BF1DBA"/>
    <w:pPr>
      <w:spacing w:after="150" w:line="240" w:lineRule="auto"/>
      <w:ind w:left="480" w:hanging="240"/>
    </w:pPr>
    <w:rPr>
      <w:rFonts w:ascii="Times New Roman" w:hAnsi="Times New Roman" w:cs="Times New Roman"/>
      <w:sz w:val="24"/>
      <w:szCs w:val="24"/>
    </w:rPr>
  </w:style>
  <w:style w:type="paragraph" w:customStyle="1" w:styleId="p2">
    <w:name w:val="p2"/>
    <w:basedOn w:val="Normalny"/>
    <w:rsid w:val="00BF1DBA"/>
    <w:pPr>
      <w:spacing w:after="150" w:line="240" w:lineRule="auto"/>
      <w:ind w:left="720" w:hanging="240"/>
    </w:pPr>
    <w:rPr>
      <w:rFonts w:ascii="Times New Roman" w:hAnsi="Times New Roman" w:cs="Times New Roman"/>
      <w:sz w:val="24"/>
      <w:szCs w:val="24"/>
    </w:rPr>
  </w:style>
  <w:style w:type="character" w:customStyle="1" w:styleId="red1">
    <w:name w:val="red1"/>
    <w:basedOn w:val="Domylnaczcionkaakapitu"/>
    <w:rsid w:val="00BF1DBA"/>
    <w:rPr>
      <w:color w:val="B60000"/>
    </w:rPr>
  </w:style>
  <w:style w:type="paragraph" w:customStyle="1" w:styleId="dtn4">
    <w:name w:val="dtn4"/>
    <w:basedOn w:val="Normalny"/>
    <w:rsid w:val="00BF1DBA"/>
    <w:pPr>
      <w:spacing w:after="75" w:line="240" w:lineRule="auto"/>
      <w:jc w:val="center"/>
    </w:pPr>
    <w:rPr>
      <w:rFonts w:ascii="Verdana" w:hAnsi="Verdana" w:cs="Times New Roman"/>
      <w:sz w:val="36"/>
      <w:szCs w:val="36"/>
    </w:rPr>
  </w:style>
  <w:style w:type="paragraph" w:customStyle="1" w:styleId="dtu4">
    <w:name w:val="dtu4"/>
    <w:basedOn w:val="Normalny"/>
    <w:rsid w:val="00BF1DBA"/>
    <w:pPr>
      <w:spacing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tz2">
    <w:name w:val="dtz2"/>
    <w:basedOn w:val="Normalny"/>
    <w:rsid w:val="00BF1DBA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p2">
    <w:name w:val="pp2"/>
    <w:basedOn w:val="Normalny"/>
    <w:rsid w:val="00BF1DBA"/>
    <w:pPr>
      <w:spacing w:after="15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podpis-prosty">
    <w:name w:val="podpis-prosty"/>
    <w:basedOn w:val="Domylnaczcionkaakapitu"/>
    <w:rsid w:val="00BF1DBA"/>
  </w:style>
  <w:style w:type="character" w:customStyle="1" w:styleId="podpis-pochyly1">
    <w:name w:val="podpis-pochyly1"/>
    <w:basedOn w:val="Domylnaczcionkaakapitu"/>
    <w:rsid w:val="00BF1DBA"/>
    <w:rPr>
      <w:i/>
      <w:iCs/>
    </w:rPr>
  </w:style>
  <w:style w:type="character" w:customStyle="1" w:styleId="cite-author">
    <w:name w:val="cite-author"/>
    <w:basedOn w:val="Domylnaczcionkaakapitu"/>
    <w:rsid w:val="00DA1D99"/>
  </w:style>
  <w:style w:type="character" w:styleId="Hipercze">
    <w:name w:val="Hyperlink"/>
    <w:basedOn w:val="Domylnaczcionkaakapitu"/>
    <w:uiPriority w:val="99"/>
    <w:semiHidden/>
    <w:unhideWhenUsed/>
    <w:rsid w:val="00DA1D9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F4BB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k\tresc,DZU.2014.213.0001539,USTAWA-z-dnia-11-marca-2004-r-o-ochronie-zdrowia-zwierzat-oraz-zwalczaniu-chorob-zakaznych-zwierzat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slawie</cp:lastModifiedBy>
  <cp:revision>3</cp:revision>
  <dcterms:created xsi:type="dcterms:W3CDTF">2017-04-10T07:59:00Z</dcterms:created>
  <dcterms:modified xsi:type="dcterms:W3CDTF">2017-04-10T08:01:00Z</dcterms:modified>
</cp:coreProperties>
</file>